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6562" w14:textId="77777777" w:rsidR="00DC059B" w:rsidRDefault="00A34080" w:rsidP="00DC059B">
      <w:pPr>
        <w:pStyle w:val="1"/>
        <w:spacing w:after="0" w:line="264" w:lineRule="auto"/>
      </w:pPr>
      <w:proofErr w:type="spellStart"/>
      <w:r>
        <w:t>Обгрунтування</w:t>
      </w:r>
      <w:proofErr w:type="spellEnd"/>
      <w:r>
        <w:t xml:space="preserve"> технічних та якісних характеристик предмета закупівлі, розміру</w:t>
      </w:r>
      <w:r>
        <w:br/>
        <w:t xml:space="preserve">бюджетного </w:t>
      </w:r>
      <w:proofErr w:type="spellStart"/>
      <w:r>
        <w:t>призначення,очікуваної</w:t>
      </w:r>
      <w:proofErr w:type="spellEnd"/>
      <w:r>
        <w:t xml:space="preserve"> вартості предмета закупівлі</w:t>
      </w:r>
    </w:p>
    <w:p w14:paraId="5FB2BEF1" w14:textId="7D1A9E64" w:rsidR="00895942" w:rsidRDefault="00A34080" w:rsidP="00DC059B">
      <w:pPr>
        <w:pStyle w:val="1"/>
        <w:spacing w:after="380" w:line="264" w:lineRule="auto"/>
      </w:pPr>
      <w:r w:rsidRPr="00DC059B">
        <w:rPr>
          <w:sz w:val="12"/>
          <w:szCs w:val="12"/>
        </w:rPr>
        <w:br/>
      </w:r>
      <w:r>
        <w:t>(відповідно до пункту 41 постанови Кабінету Міністрів України від 11.10.2016 №710</w:t>
      </w:r>
      <w:r>
        <w:br/>
        <w:t>«Про ефективне використання державних коштів» (зі змінами))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120"/>
        <w:gridCol w:w="5395"/>
      </w:tblGrid>
      <w:tr w:rsidR="00895942" w14:paraId="0310FEEE" w14:textId="77777777" w:rsidTr="001829D0">
        <w:trPr>
          <w:trHeight w:hRule="exact" w:val="249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4185D" w14:textId="77777777" w:rsidR="00895942" w:rsidRDefault="00A34080">
            <w:pPr>
              <w:pStyle w:val="a5"/>
            </w:pPr>
            <w:r>
              <w:rPr>
                <w:b/>
                <w:bCs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78872" w14:textId="77777777" w:rsidR="00895942" w:rsidRDefault="00157AE4" w:rsidP="00DC059B">
            <w:pPr>
              <w:pStyle w:val="a5"/>
              <w:ind w:left="108" w:right="57"/>
            </w:pPr>
            <w:r>
              <w:t>Найменування, місцезнахо</w:t>
            </w:r>
            <w:r w:rsidR="00A34080">
              <w:t>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3D08" w14:textId="77777777" w:rsidR="00895942" w:rsidRDefault="00A34080" w:rsidP="001829D0">
            <w:pPr>
              <w:pStyle w:val="a5"/>
              <w:tabs>
                <w:tab w:val="left" w:pos="3701"/>
              </w:tabs>
              <w:ind w:left="108" w:right="113"/>
            </w:pPr>
            <w:r>
              <w:t>Відділ освіти Татарбунарської</w:t>
            </w:r>
            <w:r>
              <w:tab/>
              <w:t>міської ради,</w:t>
            </w:r>
          </w:p>
          <w:p w14:paraId="2584178D" w14:textId="77777777" w:rsidR="00895942" w:rsidRDefault="00A34080" w:rsidP="001829D0">
            <w:pPr>
              <w:pStyle w:val="a5"/>
              <w:tabs>
                <w:tab w:val="left" w:pos="994"/>
                <w:tab w:val="left" w:pos="2218"/>
                <w:tab w:val="left" w:pos="3408"/>
                <w:tab w:val="left" w:pos="4594"/>
              </w:tabs>
              <w:ind w:left="108" w:right="113"/>
            </w:pPr>
            <w:r>
              <w:t>68100,</w:t>
            </w:r>
            <w:r>
              <w:tab/>
              <w:t>Україна,</w:t>
            </w:r>
            <w:r>
              <w:tab/>
              <w:t>Одеська</w:t>
            </w:r>
            <w:r>
              <w:tab/>
              <w:t>область,</w:t>
            </w:r>
            <w:r>
              <w:tab/>
              <w:t>місто</w:t>
            </w:r>
          </w:p>
          <w:p w14:paraId="5788462D" w14:textId="77777777" w:rsidR="006E0CB8" w:rsidRDefault="00A34080" w:rsidP="001829D0">
            <w:pPr>
              <w:pStyle w:val="a5"/>
              <w:tabs>
                <w:tab w:val="left" w:pos="1070"/>
                <w:tab w:val="left" w:pos="2496"/>
                <w:tab w:val="left" w:pos="4570"/>
              </w:tabs>
              <w:ind w:left="108" w:right="113"/>
              <w:rPr>
                <w:lang w:val="ru-RU"/>
              </w:rPr>
            </w:pPr>
            <w:r>
              <w:t>Татарбунари,</w:t>
            </w:r>
            <w:r w:rsidR="006E0CB8" w:rsidRPr="006E0CB8">
              <w:t xml:space="preserve"> </w:t>
            </w:r>
            <w:r>
              <w:t>вул. 23 Серпня,</w:t>
            </w:r>
            <w:r w:rsidR="006E0CB8" w:rsidRPr="006E0CB8">
              <w:t xml:space="preserve"> </w:t>
            </w:r>
            <w:r>
              <w:t xml:space="preserve">буд 50, </w:t>
            </w:r>
          </w:p>
          <w:p w14:paraId="21F910E7" w14:textId="77777777" w:rsidR="00253249" w:rsidRDefault="00A34080" w:rsidP="001829D0">
            <w:pPr>
              <w:pStyle w:val="a5"/>
              <w:tabs>
                <w:tab w:val="left" w:pos="1070"/>
                <w:tab w:val="left" w:pos="2496"/>
                <w:tab w:val="left" w:pos="4570"/>
              </w:tabs>
              <w:ind w:left="108" w:right="113"/>
              <w:rPr>
                <w:lang w:val="ru-RU"/>
              </w:rPr>
            </w:pPr>
            <w:r>
              <w:t xml:space="preserve">код за ЄДРПОУ44023630, </w:t>
            </w:r>
          </w:p>
          <w:p w14:paraId="6B0A3E9D" w14:textId="77777777" w:rsidR="00895942" w:rsidRDefault="00A34080" w:rsidP="001829D0">
            <w:pPr>
              <w:pStyle w:val="a5"/>
              <w:tabs>
                <w:tab w:val="left" w:pos="1070"/>
                <w:tab w:val="left" w:pos="2496"/>
                <w:tab w:val="left" w:pos="4570"/>
              </w:tabs>
              <w:ind w:left="108" w:right="113"/>
            </w:pPr>
            <w:r>
              <w:t>підприємства, установи, організації, зазначені у пункті 3частини першої статті 2 Закону України «Про публічні зак</w:t>
            </w:r>
            <w:r w:rsidR="006E0CB8">
              <w:t>упівлі» (Орган державної влади,</w:t>
            </w:r>
            <w:r w:rsidR="006E0CB8">
              <w:rPr>
                <w:lang w:val="ru-RU"/>
              </w:rPr>
              <w:t xml:space="preserve"> </w:t>
            </w:r>
            <w:r w:rsidR="006E0CB8">
              <w:t>місцевого</w:t>
            </w:r>
            <w:r w:rsidR="006E0CB8">
              <w:rPr>
                <w:lang w:val="ru-RU"/>
              </w:rPr>
              <w:t xml:space="preserve"> </w:t>
            </w:r>
            <w:r>
              <w:t>сам</w:t>
            </w:r>
            <w:r w:rsidR="006E0CB8">
              <w:t>оврядування</w:t>
            </w:r>
            <w:r w:rsidR="006E0CB8">
              <w:rPr>
                <w:lang w:val="ru-RU"/>
              </w:rPr>
              <w:t xml:space="preserve"> </w:t>
            </w:r>
            <w:r>
              <w:t>або</w:t>
            </w:r>
            <w:r w:rsidR="006E0CB8">
              <w:rPr>
                <w:lang w:val="ru-RU"/>
              </w:rPr>
              <w:t xml:space="preserve"> </w:t>
            </w:r>
            <w:r>
              <w:t>правоохоронний орган)</w:t>
            </w:r>
          </w:p>
        </w:tc>
      </w:tr>
      <w:tr w:rsidR="00895942" w14:paraId="707913C7" w14:textId="77777777" w:rsidTr="001829D0">
        <w:trPr>
          <w:trHeight w:hRule="exact" w:val="172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0A789" w14:textId="77777777" w:rsidR="00895942" w:rsidRDefault="00A34080">
            <w:pPr>
              <w:pStyle w:val="a5"/>
            </w:pPr>
            <w:r>
              <w:rPr>
                <w:b/>
                <w:bCs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7F9A8" w14:textId="77777777" w:rsidR="00895942" w:rsidRDefault="00A34080" w:rsidP="00DC059B">
            <w:pPr>
              <w:pStyle w:val="a5"/>
              <w:ind w:left="108" w:right="57"/>
            </w:pPr>
            <w:r>
              <w:t>Назва предмета закупівлі із зазначенням коду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6612" w14:textId="77777777" w:rsidR="00157AE4" w:rsidRPr="00157AE4" w:rsidRDefault="00157AE4" w:rsidP="001829D0">
            <w:pPr>
              <w:pStyle w:val="a5"/>
              <w:ind w:left="108" w:right="113"/>
              <w:rPr>
                <w:bCs/>
              </w:rPr>
            </w:pPr>
            <w:r w:rsidRPr="00157AE4">
              <w:rPr>
                <w:bCs/>
              </w:rPr>
              <w:t>Надання послуг з організації гарячого харчування для вихованців закладів дошкільної освіти та учнів закладів загальної середньої освіти Татарбунарської міської ради Одеської області</w:t>
            </w:r>
          </w:p>
          <w:p w14:paraId="0D257152" w14:textId="77777777" w:rsidR="00895942" w:rsidRDefault="00A34080" w:rsidP="001829D0">
            <w:pPr>
              <w:pStyle w:val="a5"/>
              <w:ind w:left="108" w:right="113"/>
            </w:pPr>
            <w:r>
              <w:t>код за ДК 021:2015</w:t>
            </w:r>
            <w:r w:rsidR="006E0CB8" w:rsidRPr="00EC7990">
              <w:t xml:space="preserve"> </w:t>
            </w:r>
            <w:r>
              <w:t xml:space="preserve">«Єдиного закупівельного словника» </w:t>
            </w:r>
            <w:r w:rsidR="00752A09" w:rsidRPr="00752A09">
              <w:t xml:space="preserve">55520000-1: </w:t>
            </w:r>
            <w:proofErr w:type="spellStart"/>
            <w:r w:rsidR="00752A09" w:rsidRPr="00752A09">
              <w:t>Кейтерингові</w:t>
            </w:r>
            <w:proofErr w:type="spellEnd"/>
            <w:r w:rsidR="00752A09" w:rsidRPr="00752A09">
              <w:t xml:space="preserve"> послуги</w:t>
            </w:r>
          </w:p>
        </w:tc>
      </w:tr>
      <w:tr w:rsidR="00895942" w14:paraId="28DB2DD7" w14:textId="77777777" w:rsidTr="001829D0">
        <w:trPr>
          <w:trHeight w:hRule="exact" w:val="2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8B3F3" w14:textId="77777777" w:rsidR="00895942" w:rsidRDefault="00A34080">
            <w:pPr>
              <w:pStyle w:val="a5"/>
            </w:pPr>
            <w:r>
              <w:rPr>
                <w:b/>
                <w:bCs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C5874" w14:textId="77777777" w:rsidR="00895942" w:rsidRDefault="00A34080" w:rsidP="00DC059B">
            <w:pPr>
              <w:pStyle w:val="a5"/>
              <w:ind w:left="108" w:right="57"/>
            </w:pPr>
            <w:r>
              <w:t>Вид процедури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38A0" w14:textId="77777777" w:rsidR="00895942" w:rsidRDefault="00A34080" w:rsidP="001829D0">
            <w:pPr>
              <w:pStyle w:val="a5"/>
              <w:ind w:left="108" w:right="113"/>
            </w:pPr>
            <w:r>
              <w:t>Відкриті торги</w:t>
            </w:r>
            <w:r w:rsidR="00157AE4">
              <w:t xml:space="preserve"> з особливостями</w:t>
            </w:r>
          </w:p>
        </w:tc>
      </w:tr>
      <w:tr w:rsidR="00895942" w14:paraId="720E5C50" w14:textId="77777777" w:rsidTr="001829D0">
        <w:trPr>
          <w:trHeight w:hRule="exact" w:val="41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A512A" w14:textId="77777777" w:rsidR="00895942" w:rsidRDefault="00A34080">
            <w:pPr>
              <w:pStyle w:val="a5"/>
            </w:pPr>
            <w:r>
              <w:rPr>
                <w:b/>
                <w:bCs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8C414" w14:textId="77777777" w:rsidR="00895942" w:rsidRDefault="00A34080" w:rsidP="00DC059B">
            <w:pPr>
              <w:pStyle w:val="a5"/>
              <w:ind w:left="108" w:right="57"/>
            </w:pPr>
            <w:r>
              <w:t>Ідентифікатор закупівлі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6E4A4" w14:textId="77777777" w:rsidR="00895942" w:rsidRPr="00157AE4" w:rsidRDefault="00157AE4" w:rsidP="001829D0">
            <w:pPr>
              <w:pStyle w:val="a5"/>
              <w:ind w:left="108" w:right="113"/>
              <w:rPr>
                <w:lang w:val="ru-RU"/>
              </w:rPr>
            </w:pPr>
            <w:r w:rsidRPr="00157AE4">
              <w:rPr>
                <w:bCs/>
              </w:rPr>
              <w:t>UA-2026-01-01-002088-a</w:t>
            </w:r>
          </w:p>
        </w:tc>
      </w:tr>
      <w:tr w:rsidR="00895942" w14:paraId="138C7580" w14:textId="77777777" w:rsidTr="001829D0">
        <w:trPr>
          <w:trHeight w:hRule="exact" w:val="7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86944" w14:textId="77777777" w:rsidR="00895942" w:rsidRDefault="00A34080" w:rsidP="00752A09">
            <w:pPr>
              <w:pStyle w:val="a5"/>
            </w:pPr>
            <w:r>
              <w:rPr>
                <w:b/>
                <w:bCs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B2772" w14:textId="77777777" w:rsidR="00895942" w:rsidRDefault="00A34080" w:rsidP="00DC059B">
            <w:pPr>
              <w:pStyle w:val="a5"/>
              <w:ind w:left="108" w:right="57"/>
            </w:pPr>
            <w:r>
              <w:t>Обґрунтування технічних та якісних характеристик предмета закупівлі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54723" w14:textId="77777777" w:rsidR="00157AE4" w:rsidRPr="00E31417" w:rsidRDefault="00157AE4" w:rsidP="001829D0">
            <w:pPr>
              <w:pStyle w:val="a5"/>
              <w:tabs>
                <w:tab w:val="left" w:pos="1526"/>
                <w:tab w:val="left" w:pos="2731"/>
                <w:tab w:val="left" w:pos="3571"/>
              </w:tabs>
              <w:ind w:left="108" w:right="113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Харчування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здійснюється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3 рази  на день для </w:t>
            </w:r>
            <w:proofErr w:type="spellStart"/>
            <w:r>
              <w:rPr>
                <w:sz w:val="22"/>
                <w:szCs w:val="22"/>
                <w:lang w:val="ru-RU"/>
              </w:rPr>
              <w:t>вихованців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дошкільної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освіти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1 раз на день для </w:t>
            </w:r>
            <w:proofErr w:type="spellStart"/>
            <w:r>
              <w:rPr>
                <w:sz w:val="22"/>
                <w:szCs w:val="22"/>
                <w:lang w:val="ru-RU"/>
              </w:rPr>
              <w:t>учнів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загальної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середньої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освіти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</w:p>
          <w:p w14:paraId="2596D3F9" w14:textId="77777777" w:rsidR="00895942" w:rsidRDefault="00A34080" w:rsidP="001829D0">
            <w:pPr>
              <w:pStyle w:val="a5"/>
              <w:tabs>
                <w:tab w:val="left" w:pos="1526"/>
                <w:tab w:val="left" w:pos="2731"/>
                <w:tab w:val="left" w:pos="3571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Харчування</w:t>
            </w:r>
            <w:r>
              <w:rPr>
                <w:sz w:val="22"/>
                <w:szCs w:val="22"/>
              </w:rPr>
              <w:tab/>
              <w:t>повинно</w:t>
            </w:r>
            <w:r>
              <w:rPr>
                <w:sz w:val="22"/>
                <w:szCs w:val="22"/>
              </w:rPr>
              <w:tab/>
              <w:t>бути</w:t>
            </w:r>
            <w:r>
              <w:rPr>
                <w:sz w:val="22"/>
                <w:szCs w:val="22"/>
              </w:rPr>
              <w:tab/>
              <w:t>вітамінізоване,</w:t>
            </w:r>
          </w:p>
          <w:p w14:paraId="264EAB29" w14:textId="77777777" w:rsidR="00895942" w:rsidRDefault="00A34080" w:rsidP="001829D0">
            <w:pPr>
              <w:pStyle w:val="a5"/>
              <w:tabs>
                <w:tab w:val="left" w:pos="1613"/>
                <w:tab w:val="left" w:pos="2189"/>
                <w:tab w:val="left" w:pos="3662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збалансоване</w:t>
            </w:r>
            <w:r>
              <w:rPr>
                <w:sz w:val="22"/>
                <w:szCs w:val="22"/>
              </w:rPr>
              <w:tab/>
              <w:t>та</w:t>
            </w:r>
            <w:r>
              <w:rPr>
                <w:sz w:val="22"/>
                <w:szCs w:val="22"/>
              </w:rPr>
              <w:tab/>
              <w:t>відповідати</w:t>
            </w:r>
            <w:r>
              <w:rPr>
                <w:sz w:val="22"/>
                <w:szCs w:val="22"/>
              </w:rPr>
              <w:tab/>
              <w:t>встановленим</w:t>
            </w:r>
          </w:p>
          <w:p w14:paraId="3309041C" w14:textId="77777777" w:rsidR="00895942" w:rsidRDefault="00A34080" w:rsidP="001829D0">
            <w:pPr>
              <w:pStyle w:val="a5"/>
              <w:tabs>
                <w:tab w:val="left" w:pos="466"/>
                <w:tab w:val="left" w:pos="1536"/>
                <w:tab w:val="left" w:pos="2842"/>
                <w:tab w:val="left" w:pos="4046"/>
                <w:tab w:val="right" w:pos="4987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законодавчим нормам. Заборонено використовувати продукти, що містять ГМО, синтетичні барвники, ароматизатори, </w:t>
            </w:r>
            <w:proofErr w:type="spellStart"/>
            <w:r>
              <w:rPr>
                <w:sz w:val="22"/>
                <w:szCs w:val="22"/>
              </w:rPr>
              <w:t>підсолоджувачі</w:t>
            </w:r>
            <w:proofErr w:type="spellEnd"/>
            <w:r>
              <w:rPr>
                <w:sz w:val="22"/>
                <w:szCs w:val="22"/>
              </w:rPr>
              <w:t>, підсилювачі смаку, консерванти. Виконавець повинен забезпечувати постачання гарячих обідів, обсяги та якість яких відповідають умовам</w:t>
            </w:r>
            <w:r w:rsidR="006E0CB8">
              <w:rPr>
                <w:sz w:val="22"/>
                <w:szCs w:val="22"/>
              </w:rPr>
              <w:t xml:space="preserve"> тендерної документації (ТД) </w:t>
            </w:r>
            <w:proofErr w:type="spellStart"/>
            <w:r w:rsidR="006E0CB8"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>вимогам</w:t>
            </w:r>
            <w:proofErr w:type="spellEnd"/>
            <w:r>
              <w:rPr>
                <w:sz w:val="22"/>
                <w:szCs w:val="22"/>
              </w:rPr>
              <w:tab/>
              <w:t>стандартів,</w:t>
            </w:r>
            <w:r>
              <w:rPr>
                <w:sz w:val="22"/>
                <w:szCs w:val="22"/>
              </w:rPr>
              <w:tab/>
              <w:t>технічних</w:t>
            </w:r>
            <w:r>
              <w:rPr>
                <w:sz w:val="22"/>
                <w:szCs w:val="22"/>
              </w:rPr>
              <w:tab/>
              <w:t>умов</w:t>
            </w:r>
            <w:r>
              <w:rPr>
                <w:sz w:val="22"/>
                <w:szCs w:val="22"/>
              </w:rPr>
              <w:tab/>
              <w:t>та</w:t>
            </w:r>
          </w:p>
          <w:p w14:paraId="7BEF7332" w14:textId="77777777" w:rsidR="00895942" w:rsidRDefault="00A34080" w:rsidP="001829D0">
            <w:pPr>
              <w:pStyle w:val="a5"/>
              <w:tabs>
                <w:tab w:val="left" w:pos="1339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нормативів,</w:t>
            </w:r>
            <w:r>
              <w:rPr>
                <w:sz w:val="22"/>
                <w:szCs w:val="22"/>
              </w:rPr>
              <w:tab/>
              <w:t>що діють на території України.</w:t>
            </w:r>
          </w:p>
          <w:p w14:paraId="2C233AE1" w14:textId="77777777" w:rsidR="00895942" w:rsidRDefault="00A34080" w:rsidP="001829D0">
            <w:pPr>
              <w:pStyle w:val="a5"/>
              <w:tabs>
                <w:tab w:val="left" w:pos="1656"/>
                <w:tab w:val="left" w:pos="2554"/>
                <w:tab w:val="left" w:pos="3197"/>
                <w:tab w:val="left" w:pos="4891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Постачання гарячих страв здійснюється згідно двотижневого</w:t>
            </w:r>
            <w:r>
              <w:rPr>
                <w:sz w:val="22"/>
                <w:szCs w:val="22"/>
              </w:rPr>
              <w:tab/>
              <w:t>меню,</w:t>
            </w:r>
            <w:r>
              <w:rPr>
                <w:sz w:val="22"/>
                <w:szCs w:val="22"/>
              </w:rPr>
              <w:tab/>
              <w:t>яке</w:t>
            </w:r>
            <w:r>
              <w:rPr>
                <w:sz w:val="22"/>
                <w:szCs w:val="22"/>
              </w:rPr>
              <w:tab/>
              <w:t>погоджуються</w:t>
            </w:r>
            <w:r>
              <w:rPr>
                <w:sz w:val="22"/>
                <w:szCs w:val="22"/>
              </w:rPr>
              <w:tab/>
              <w:t>з</w:t>
            </w:r>
          </w:p>
          <w:p w14:paraId="5E968B00" w14:textId="77777777" w:rsidR="00895942" w:rsidRDefault="00A34080" w:rsidP="001829D0">
            <w:pPr>
              <w:pStyle w:val="a5"/>
              <w:tabs>
                <w:tab w:val="left" w:pos="1061"/>
                <w:tab w:val="left" w:pos="3763"/>
                <w:tab w:val="right" w:pos="4973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Замовником та за необхідності із територіальним органом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Держпродспоживслужби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ab/>
              <w:t>або</w:t>
            </w:r>
            <w:r>
              <w:rPr>
                <w:sz w:val="22"/>
                <w:szCs w:val="22"/>
              </w:rPr>
              <w:tab/>
              <w:t>іншим</w:t>
            </w:r>
          </w:p>
          <w:p w14:paraId="505F60DB" w14:textId="77777777" w:rsidR="00895942" w:rsidRDefault="00A34080" w:rsidP="001829D0">
            <w:pPr>
              <w:pStyle w:val="a5"/>
              <w:tabs>
                <w:tab w:val="left" w:pos="1003"/>
                <w:tab w:val="left" w:pos="2822"/>
              </w:tabs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органом, який має відповідні повноваження щодо погодження меню для харчування дітей, щодо кожної категорії дітей. Виконавець повинен надати Замовнику послуги, обсяг та якість яких відповідає умовам ТД, санітарно-гіг</w:t>
            </w:r>
            <w:r w:rsidR="00E31417">
              <w:rPr>
                <w:sz w:val="22"/>
                <w:szCs w:val="22"/>
              </w:rPr>
              <w:t xml:space="preserve">ієнічним умовам. </w:t>
            </w:r>
          </w:p>
          <w:p w14:paraId="761393F0" w14:textId="77777777" w:rsidR="00895942" w:rsidRDefault="00752A09" w:rsidP="001829D0">
            <w:pPr>
              <w:pStyle w:val="a5"/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Приготування страв виконавцем повинно здійснюватись на воді, що відповідає нормам та стандартам ДСТУ</w:t>
            </w:r>
            <w:r w:rsidR="00043D5A">
              <w:rPr>
                <w:sz w:val="22"/>
                <w:szCs w:val="22"/>
              </w:rPr>
              <w:t xml:space="preserve"> </w:t>
            </w:r>
            <w:r w:rsidR="0096561A">
              <w:rPr>
                <w:sz w:val="22"/>
                <w:szCs w:val="22"/>
              </w:rPr>
              <w:t>)</w:t>
            </w:r>
            <w:r w:rsidR="00043D5A">
              <w:rPr>
                <w:sz w:val="22"/>
                <w:szCs w:val="22"/>
              </w:rPr>
              <w:t>та іншим вимогам чинного законодавства.</w:t>
            </w:r>
          </w:p>
          <w:p w14:paraId="681F4AFB" w14:textId="77777777" w:rsidR="00043D5A" w:rsidRDefault="00043D5A" w:rsidP="001829D0">
            <w:pPr>
              <w:pStyle w:val="a5"/>
              <w:ind w:left="108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Надання послуг здійснюється виключно в приміщенні їдальні та харчоблоці Замовника</w:t>
            </w:r>
            <w:r w:rsidR="00295EEB">
              <w:rPr>
                <w:sz w:val="22"/>
                <w:szCs w:val="22"/>
              </w:rPr>
              <w:t>.</w:t>
            </w:r>
          </w:p>
        </w:tc>
      </w:tr>
    </w:tbl>
    <w:p w14:paraId="0E845BB6" w14:textId="77777777" w:rsidR="00895942" w:rsidRDefault="00A34080" w:rsidP="00752A09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120"/>
        <w:gridCol w:w="5395"/>
      </w:tblGrid>
      <w:tr w:rsidR="00895942" w14:paraId="078A1803" w14:textId="77777777" w:rsidTr="001829D0">
        <w:trPr>
          <w:trHeight w:hRule="exact" w:val="8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F0F0A" w14:textId="77777777" w:rsidR="00895942" w:rsidRDefault="00A34080" w:rsidP="00752A09">
            <w:pPr>
              <w:pStyle w:val="a5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0B5C4" w14:textId="77777777" w:rsidR="00895942" w:rsidRDefault="00A34080" w:rsidP="00DC059B">
            <w:pPr>
              <w:pStyle w:val="a5"/>
              <w:ind w:left="108" w:right="57"/>
            </w:pPr>
            <w:r>
              <w:t>Обґрунтування розміру бюджетного призначення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A16D1" w14:textId="77777777" w:rsidR="00895942" w:rsidRDefault="00A34080" w:rsidP="001829D0">
            <w:pPr>
              <w:pStyle w:val="a5"/>
              <w:ind w:left="108" w:right="113"/>
              <w:jc w:val="both"/>
            </w:pPr>
            <w:r>
              <w:t>Розмір бюджетного призначення визначений відповідно до кошторису на 202</w:t>
            </w:r>
            <w:r w:rsidR="00157AE4">
              <w:t>6</w:t>
            </w:r>
            <w:r>
              <w:t xml:space="preserve"> рік за КЕКВ 2230</w:t>
            </w:r>
          </w:p>
        </w:tc>
      </w:tr>
      <w:tr w:rsidR="00895942" w14:paraId="3686E143" w14:textId="77777777" w:rsidTr="001829D0">
        <w:trPr>
          <w:trHeight w:hRule="exact" w:val="950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7D486" w14:textId="77777777" w:rsidR="00895942" w:rsidRDefault="00A34080">
            <w:pPr>
              <w:pStyle w:val="a5"/>
            </w:pPr>
            <w:r>
              <w:rPr>
                <w:b/>
                <w:bCs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103AE" w14:textId="77777777" w:rsidR="00895942" w:rsidRDefault="00A34080" w:rsidP="00DC059B">
            <w:pPr>
              <w:pStyle w:val="a5"/>
              <w:spacing w:line="233" w:lineRule="auto"/>
              <w:ind w:left="108" w:right="57"/>
            </w:pPr>
            <w:r>
              <w:t>Обґрунтування очікуваної вартості предмета закупівлі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6EC5F" w14:textId="1BE1208C" w:rsidR="00895942" w:rsidRDefault="00A34080" w:rsidP="001829D0">
            <w:pPr>
              <w:pStyle w:val="a5"/>
              <w:tabs>
                <w:tab w:val="left" w:pos="0"/>
                <w:tab w:val="left" w:pos="1507"/>
                <w:tab w:val="left" w:pos="2213"/>
                <w:tab w:val="left" w:pos="3792"/>
                <w:tab w:val="left" w:pos="4426"/>
              </w:tabs>
              <w:spacing w:line="233" w:lineRule="auto"/>
              <w:ind w:left="108" w:right="113"/>
              <w:jc w:val="both"/>
            </w:pPr>
            <w:r>
              <w:t xml:space="preserve">Очікувана вартість предмета закупівлі становить </w:t>
            </w:r>
            <w:r w:rsidR="00A60B90">
              <w:t xml:space="preserve">              </w:t>
            </w:r>
            <w:r w:rsidR="00157AE4" w:rsidRPr="00157AE4">
              <w:t>730</w:t>
            </w:r>
            <w:r w:rsidR="00157AE4">
              <w:t> </w:t>
            </w:r>
            <w:r w:rsidR="00157AE4" w:rsidRPr="00157AE4">
              <w:t>440</w:t>
            </w:r>
            <w:r w:rsidR="00157AE4">
              <w:t>,00</w:t>
            </w:r>
            <w:r w:rsidR="00295EEB">
              <w:t xml:space="preserve"> </w:t>
            </w:r>
            <w:r>
              <w:t xml:space="preserve">грн., що відповідає розміру бюджетного призначення. </w:t>
            </w:r>
            <w:r w:rsidR="00110B78">
              <w:t xml:space="preserve">Розрахунок здійснений на підставі </w:t>
            </w:r>
            <w:r w:rsidR="00F90E8F" w:rsidRPr="0086103B">
              <w:t>рішення Татарбунарської міської ради від 0</w:t>
            </w:r>
            <w:r w:rsidR="00F90E8F">
              <w:t>5</w:t>
            </w:r>
            <w:r w:rsidR="00F90E8F" w:rsidRPr="0086103B">
              <w:t>.12.202</w:t>
            </w:r>
            <w:r w:rsidR="00F90E8F">
              <w:t>5</w:t>
            </w:r>
            <w:r w:rsidR="00F90E8F" w:rsidRPr="0086103B">
              <w:t xml:space="preserve"> року № </w:t>
            </w:r>
            <w:r w:rsidR="00F90E8F">
              <w:t>1705</w:t>
            </w:r>
            <w:r w:rsidR="00F90E8F" w:rsidRPr="0086103B">
              <w:t xml:space="preserve">-VIII «Про </w:t>
            </w:r>
            <w:r w:rsidR="00DB345F">
              <w:t>бюджет Татарбунарської міської територіальної громади на 2026 рік</w:t>
            </w:r>
            <w:r w:rsidR="00F90E8F" w:rsidRPr="0086103B">
              <w:t>»</w:t>
            </w:r>
            <w:r w:rsidR="00F90E8F">
              <w:t xml:space="preserve">; </w:t>
            </w:r>
            <w:r w:rsidR="00E90BD8" w:rsidRPr="0086103B">
              <w:t>рішення Татарбунарської міської ради від 0</w:t>
            </w:r>
            <w:r w:rsidR="00157AE4">
              <w:t>5</w:t>
            </w:r>
            <w:r w:rsidR="00E90BD8" w:rsidRPr="0086103B">
              <w:t>.12.202</w:t>
            </w:r>
            <w:r w:rsidR="00157AE4">
              <w:t>5</w:t>
            </w:r>
            <w:r w:rsidR="00E90BD8" w:rsidRPr="0086103B">
              <w:t xml:space="preserve"> року № </w:t>
            </w:r>
            <w:r w:rsidR="00157AE4">
              <w:t>1722</w:t>
            </w:r>
            <w:r w:rsidR="00E90BD8" w:rsidRPr="0086103B">
              <w:t xml:space="preserve">-VIII «Про </w:t>
            </w:r>
            <w:r w:rsidR="00157AE4">
              <w:t>затвердження вартості харчування здобувачів освіти закладів загальної середньої освіти</w:t>
            </w:r>
            <w:r w:rsidR="00E90BD8" w:rsidRPr="0086103B">
              <w:t xml:space="preserve"> Татарбунарської міської </w:t>
            </w:r>
            <w:r w:rsidR="00157AE4">
              <w:t>рали Одеської області на 20226 рік</w:t>
            </w:r>
            <w:r w:rsidR="00E90BD8" w:rsidRPr="0086103B">
              <w:t>»</w:t>
            </w:r>
            <w:r w:rsidR="00E90BD8">
              <w:t xml:space="preserve">; </w:t>
            </w:r>
            <w:r w:rsidR="00110B78" w:rsidRPr="009E0DF7">
              <w:t>рішення сесії Татарб</w:t>
            </w:r>
            <w:r w:rsidR="00110B78">
              <w:t xml:space="preserve">унарської   міської ради від </w:t>
            </w:r>
            <w:r w:rsidR="00F90E8F" w:rsidRPr="0086103B">
              <w:t>0</w:t>
            </w:r>
            <w:r w:rsidR="00F90E8F">
              <w:t>5</w:t>
            </w:r>
            <w:r w:rsidR="00F90E8F" w:rsidRPr="0086103B">
              <w:t>.12.202</w:t>
            </w:r>
            <w:r w:rsidR="00F90E8F">
              <w:t>5</w:t>
            </w:r>
            <w:r w:rsidR="00F90E8F" w:rsidRPr="0086103B">
              <w:t xml:space="preserve"> </w:t>
            </w:r>
            <w:r w:rsidR="00110B78" w:rsidRPr="0086103B">
              <w:t>року № 1</w:t>
            </w:r>
            <w:r w:rsidR="00F90E8F">
              <w:t>723</w:t>
            </w:r>
            <w:r w:rsidR="00110B78" w:rsidRPr="0086103B">
              <w:t xml:space="preserve"> - VIII «</w:t>
            </w:r>
            <w:r w:rsidR="009D1049" w:rsidRPr="0086103B">
              <w:t xml:space="preserve">Про </w:t>
            </w:r>
            <w:r w:rsidR="00F90E8F">
              <w:t>затвердження вартості харчування на одну дитину в день та порядку оплати батьків за перебування вихованців в закладах дошкільної освіти Татарбунарської міської ради Одеської області 3 01 січня 2026 року</w:t>
            </w:r>
            <w:r w:rsidR="00110B78" w:rsidRPr="0086103B">
              <w:t>»</w:t>
            </w:r>
            <w:r w:rsidR="00E90BD8">
              <w:t xml:space="preserve">; </w:t>
            </w:r>
            <w:r w:rsidR="00DB345F" w:rsidRPr="00DB345F">
              <w:t>Постанова КМУ від 20 грудня 2024 року № 1456 «Про затвердження Порядку та умов надання субвенції з державного бюджету місцевим бюджетам на забезпечення харчування учнів початкових класів закладів загальної середньої освіти»;</w:t>
            </w:r>
            <w:r w:rsidR="00DB345F">
              <w:t xml:space="preserve"> </w:t>
            </w:r>
            <w:r w:rsidR="00DB345F" w:rsidRPr="00DB345F">
              <w:t>Постанова КМУ від 20 грудня 2024 року № 1451 «Деякі питання надання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освіти»;</w:t>
            </w:r>
            <w:r w:rsidR="00DB345F">
              <w:t xml:space="preserve"> </w:t>
            </w:r>
            <w:r w:rsidR="00DB345F" w:rsidRPr="00DB345F">
              <w:t>Постанова КМУ від 13 серпня 2025 року № 969 «Деякі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</w:t>
            </w:r>
            <w:r w:rsidR="001829D0">
              <w:t xml:space="preserve">» </w:t>
            </w:r>
            <w:r w:rsidR="00110B78" w:rsidRPr="0086103B">
              <w:t>та</w:t>
            </w:r>
            <w:r w:rsidR="00110B78" w:rsidRPr="009E0DF7">
              <w:t xml:space="preserve"> орієнтовної кількості учнів, які відвідують заклади освіти.</w:t>
            </w:r>
          </w:p>
        </w:tc>
      </w:tr>
    </w:tbl>
    <w:p w14:paraId="6F7C9EC7" w14:textId="77777777" w:rsidR="00A34080" w:rsidRDefault="00A34080"/>
    <w:sectPr w:rsidR="00A34080" w:rsidSect="00895942">
      <w:pgSz w:w="11900" w:h="16840"/>
      <w:pgMar w:top="1076" w:right="808" w:bottom="214" w:left="1578" w:header="6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7883" w14:textId="77777777" w:rsidR="005176FC" w:rsidRDefault="005176FC" w:rsidP="00895942">
      <w:r>
        <w:separator/>
      </w:r>
    </w:p>
  </w:endnote>
  <w:endnote w:type="continuationSeparator" w:id="0">
    <w:p w14:paraId="7EE9845A" w14:textId="77777777" w:rsidR="005176FC" w:rsidRDefault="005176FC" w:rsidP="0089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AEB3" w14:textId="77777777" w:rsidR="005176FC" w:rsidRDefault="005176FC"/>
  </w:footnote>
  <w:footnote w:type="continuationSeparator" w:id="0">
    <w:p w14:paraId="0E7E6335" w14:textId="77777777" w:rsidR="005176FC" w:rsidRDefault="005176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770B"/>
    <w:multiLevelType w:val="hybridMultilevel"/>
    <w:tmpl w:val="9F167E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789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942"/>
    <w:rsid w:val="00007385"/>
    <w:rsid w:val="00043D5A"/>
    <w:rsid w:val="000659A6"/>
    <w:rsid w:val="000F4A4F"/>
    <w:rsid w:val="0011041F"/>
    <w:rsid w:val="00110B78"/>
    <w:rsid w:val="00157AE4"/>
    <w:rsid w:val="001707CB"/>
    <w:rsid w:val="001829D0"/>
    <w:rsid w:val="00193F07"/>
    <w:rsid w:val="001B18AF"/>
    <w:rsid w:val="001F0F31"/>
    <w:rsid w:val="002255B2"/>
    <w:rsid w:val="00244558"/>
    <w:rsid w:val="00253249"/>
    <w:rsid w:val="00295EEB"/>
    <w:rsid w:val="002D73F7"/>
    <w:rsid w:val="0035202F"/>
    <w:rsid w:val="00413435"/>
    <w:rsid w:val="00422111"/>
    <w:rsid w:val="004E619D"/>
    <w:rsid w:val="00512D9D"/>
    <w:rsid w:val="005176FC"/>
    <w:rsid w:val="00525E71"/>
    <w:rsid w:val="005835E3"/>
    <w:rsid w:val="005875CD"/>
    <w:rsid w:val="005D06F6"/>
    <w:rsid w:val="0062039A"/>
    <w:rsid w:val="00680BDF"/>
    <w:rsid w:val="00681284"/>
    <w:rsid w:val="0069436D"/>
    <w:rsid w:val="006B23B7"/>
    <w:rsid w:val="006E0CB8"/>
    <w:rsid w:val="00733B06"/>
    <w:rsid w:val="00745AAA"/>
    <w:rsid w:val="00752A09"/>
    <w:rsid w:val="007B3FDA"/>
    <w:rsid w:val="0081590B"/>
    <w:rsid w:val="0086103B"/>
    <w:rsid w:val="00895942"/>
    <w:rsid w:val="008B1EB3"/>
    <w:rsid w:val="00934321"/>
    <w:rsid w:val="0096561A"/>
    <w:rsid w:val="009D1049"/>
    <w:rsid w:val="009E0DF7"/>
    <w:rsid w:val="009E537D"/>
    <w:rsid w:val="00A34080"/>
    <w:rsid w:val="00A37806"/>
    <w:rsid w:val="00A60B90"/>
    <w:rsid w:val="00AB1C65"/>
    <w:rsid w:val="00AD2515"/>
    <w:rsid w:val="00AD59A8"/>
    <w:rsid w:val="00B75E28"/>
    <w:rsid w:val="00BC2943"/>
    <w:rsid w:val="00BE6E21"/>
    <w:rsid w:val="00C02594"/>
    <w:rsid w:val="00C22A2A"/>
    <w:rsid w:val="00CC5615"/>
    <w:rsid w:val="00CD5357"/>
    <w:rsid w:val="00D3072C"/>
    <w:rsid w:val="00DB345F"/>
    <w:rsid w:val="00DC059B"/>
    <w:rsid w:val="00E31417"/>
    <w:rsid w:val="00E419A7"/>
    <w:rsid w:val="00E80D3B"/>
    <w:rsid w:val="00E90BD8"/>
    <w:rsid w:val="00EB2E5F"/>
    <w:rsid w:val="00EC7990"/>
    <w:rsid w:val="00EC7C2C"/>
    <w:rsid w:val="00F066FE"/>
    <w:rsid w:val="00F31ED0"/>
    <w:rsid w:val="00F4215A"/>
    <w:rsid w:val="00F90E8F"/>
    <w:rsid w:val="00F91C7B"/>
    <w:rsid w:val="00F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7884"/>
  <w15:docId w15:val="{FD63523A-023F-4A83-90B5-86DEDE27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59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5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895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95942"/>
    <w:pPr>
      <w:spacing w:after="260" w:line="262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895942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DB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2782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65</cp:revision>
  <cp:lastPrinted>2025-09-05T08:52:00Z</cp:lastPrinted>
  <dcterms:created xsi:type="dcterms:W3CDTF">2022-01-18T09:10:00Z</dcterms:created>
  <dcterms:modified xsi:type="dcterms:W3CDTF">2026-01-12T13:11:00Z</dcterms:modified>
</cp:coreProperties>
</file>